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6" w:name="swot-analizi-ve-risk-yönetim-planı"/>
    <w:p>
      <w:pPr>
        <w:pStyle w:val="Heading1"/>
      </w:pPr>
      <w:r>
        <w:t xml:space="preserve">SWOT Analizi ve Risk Yönetim Planı</w:t>
      </w:r>
    </w:p>
    <w:p>
      <w:pPr>
        <w:pStyle w:val="FirstParagraph"/>
      </w:pPr>
      <w:r>
        <w:rPr>
          <w:b/>
          <w:bCs/>
        </w:rPr>
        <w:t xml:space="preserve">Proje:</w:t>
      </w:r>
      <w:r>
        <w:t xml:space="preserve"> </w:t>
      </w:r>
      <w:r>
        <w:t xml:space="preserve">ÜretimIQ — Kerege Ltd. Şti.</w:t>
      </w:r>
      <w:r>
        <w:t xml:space="preserve"> </w:t>
      </w:r>
      <w:r>
        <w:rPr>
          <w:b/>
          <w:bCs/>
        </w:rPr>
        <w:t xml:space="preserve">Tarih:</w:t>
      </w:r>
      <w:r>
        <w:t xml:space="preserve"> </w:t>
      </w:r>
      <w:r>
        <w:t xml:space="preserve">03 Mayıs 2026</w:t>
      </w:r>
    </w:p>
    <w:p>
      <w:r>
        <w:pict>
          <v:rect style="width:0;height:1.5pt" o:hralign="center" o:hrstd="t" o:hr="t"/>
        </w:pict>
      </w:r>
    </w:p>
    <w:bookmarkStart w:id="13" w:name="swot-analizi"/>
    <w:p>
      <w:pPr>
        <w:pStyle w:val="Heading2"/>
      </w:pPr>
      <w:r>
        <w:t xml:space="preserve">1. SWOT Analizi</w:t>
      </w:r>
    </w:p>
    <w:bookmarkStart w:id="9" w:name="güçlü-yönler-strengths"/>
    <w:p>
      <w:pPr>
        <w:pStyle w:val="Heading3"/>
      </w:pPr>
      <w:r>
        <w:t xml:space="preserve">Güçlü Yönler (Strengths)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Deneyimli girişimci profili:</w:t>
      </w:r>
      <w:r>
        <w:t xml:space="preserve"> </w:t>
      </w:r>
      <w:r>
        <w:t xml:space="preserve">20+ yıl bilişim ve girişimcilik tecrübesi (Önder Öztürk, 45)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Tamamlanmış KOSGEB İleri Girişimcilik Eğitimi</w:t>
      </w:r>
      <w:r>
        <w:t xml:space="preserve"> </w:t>
      </w:r>
      <w:r>
        <w:t xml:space="preserve">(27.05.2023, KSB01UGE0110965291)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Odaklı AR-GE yaklaşımı:</w:t>
      </w:r>
      <w:r>
        <w:t xml:space="preserve"> </w:t>
      </w:r>
      <w:r>
        <w:t xml:space="preserve">Türkiye imalat sektörüne özgü veri seti ve modeller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KOBİ-ölçek niş boşluğu:</w:t>
      </w:r>
      <w:r>
        <w:t xml:space="preserve"> </w:t>
      </w:r>
      <w:r>
        <w:t xml:space="preserve">SmartOpt, Datagifta gibi yerli oyuncular danışmanlık/proje modelinde; ürünleştirilmiş, abonelik tabanlı SaaS yerli rakip henüz olgunlaşmamış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Hızlı ROI vaadi:</w:t>
      </w:r>
      <w:r>
        <w:t xml:space="preserve"> </w:t>
      </w:r>
      <w:r>
        <w:t xml:space="preserve">Müşteri için 6-9 ayda yatırım geri dönüşü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KVKK/GDPR uyumlu edge mimari</w:t>
      </w:r>
      <w:r>
        <w:t xml:space="preserve"> </w:t>
      </w:r>
      <w:r>
        <w:t xml:space="preserve">— kurumsal satış için kritik avantaj, global rakiplerin (Augury, GE) sahip olmadığı yerel uyum</w:t>
      </w:r>
    </w:p>
    <w:bookmarkEnd w:id="9"/>
    <w:bookmarkStart w:id="10" w:name="zayıf-yönler-weaknesses"/>
    <w:p>
      <w:pPr>
        <w:pStyle w:val="Heading3"/>
      </w:pPr>
      <w:r>
        <w:t xml:space="preserve">Zayıf Yönler (Weaknesses)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Yeni şirket:</w:t>
      </w:r>
      <w:r>
        <w:t xml:space="preserve"> </w:t>
      </w:r>
      <w:r>
        <w:t xml:space="preserve">Kerege Ltd. Şti. 5 aylık (referans/kurumsal güven oluşumu zaman alacak)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Sınırlı başlangıç sermayesi:</w:t>
      </w:r>
      <w:r>
        <w:t xml:space="preserve"> </w:t>
      </w:r>
      <w:r>
        <w:t xml:space="preserve">KOSGEB desteği olmadan ölçeklenme zor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35 yaş altı / kadın girişimci ek puanı yok:</w:t>
      </w:r>
      <w:r>
        <w:t xml:space="preserve"> </w:t>
      </w:r>
      <w:r>
        <w:t xml:space="preserve">Bu nedenle AR-GE derinliği ve iş planı kalitesi ile kompanse edilmektedir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Marka bilinirliği yok:</w:t>
      </w:r>
      <w:r>
        <w:t xml:space="preserve"> </w:t>
      </w:r>
      <w:r>
        <w:t xml:space="preserve">İlk müşteri kazanımı ücretsiz pilot stratejisiyle aşılacak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Dar ekip:</w:t>
      </w:r>
      <w:r>
        <w:t xml:space="preserve"> </w:t>
      </w:r>
      <w:r>
        <w:t xml:space="preserve">Başlangıçta tek kurucu (6 personel istihdam projeksiyonu var)</w:t>
      </w:r>
    </w:p>
    <w:bookmarkEnd w:id="10"/>
    <w:bookmarkStart w:id="11" w:name="fırsatlar-opportunities"/>
    <w:p>
      <w:pPr>
        <w:pStyle w:val="Heading3"/>
      </w:pPr>
      <w:r>
        <w:t xml:space="preserve">Fırsatlar (Opportunities)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Türkiye imalat dijital dönüşüm dalgası:</w:t>
      </w:r>
      <w:r>
        <w:t xml:space="preserve"> </w:t>
      </w:r>
      <w:r>
        <w:t xml:space="preserve">400.000+ KOBİ hedef pazarında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Devlet teşvikleri:</w:t>
      </w:r>
      <w:r>
        <w:t xml:space="preserve"> </w:t>
      </w:r>
      <w:r>
        <w:t xml:space="preserve">KOSGEB, TÜBİTAK, KOBİ Dijital Dönüşüm fonları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Avrupa pazarı yakınlığı:</w:t>
      </w:r>
      <w:r>
        <w:t xml:space="preserve"> </w:t>
      </w:r>
      <w:r>
        <w:t xml:space="preserve">Almanya/Polonya’da Türkiye menşeli yazılımlara açıklık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Endüstri 4.0 yatırımları:</w:t>
      </w:r>
      <w:r>
        <w:t xml:space="preserve"> </w:t>
      </w:r>
      <w:r>
        <w:t xml:space="preserve">Üretim verimliliği yazılımlarına talep yıllık %18-25 artıyor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Predictive maintenance küresel pazar:</w:t>
      </w:r>
      <w:r>
        <w:t xml:space="preserve"> </w:t>
      </w:r>
      <w:r>
        <w:t xml:space="preserve">2030’a kadar 30 milyar USD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Türkçe NLP boşluğu:</w:t>
      </w:r>
      <w:r>
        <w:t xml:space="preserve"> </w:t>
      </w:r>
      <w:r>
        <w:t xml:space="preserve">Yabancı çözümlerin Türkçe destek zafiyeti</w:t>
      </w:r>
    </w:p>
    <w:bookmarkEnd w:id="11"/>
    <w:bookmarkStart w:id="12" w:name="tehditler-threats"/>
    <w:p>
      <w:pPr>
        <w:pStyle w:val="Heading3"/>
      </w:pPr>
      <w:r>
        <w:t xml:space="preserve">Tehditler (Threats)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Global lider platformlar:</w:t>
      </w:r>
      <w:r>
        <w:t xml:space="preserve"> </w:t>
      </w:r>
      <w:r>
        <w:t xml:space="preserve">SymphonyAI (SupplyAI markalı), Blue Yonder, SAP IBP, Oracle SCM — yüksek bütçeli; ancak fiyat ve yerel destek dezavantajlı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Predictive maintenance uzmanları:</w:t>
      </w:r>
      <w:r>
        <w:t xml:space="preserve"> </w:t>
      </w:r>
      <w:r>
        <w:t xml:space="preserve">Augury, Siemens Senseye — sensör derinliği var ama bütünsel platform değil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Yerli oyuncular ürünleşirse:</w:t>
      </w:r>
      <w:r>
        <w:t xml:space="preserve"> </w:t>
      </w:r>
      <w:r>
        <w:t xml:space="preserve">SmartOpt, Datagifta, Pdata.ai gibi danışmanlık şirketlerinin SaaS’a evrilmesi (mevcut ekipleri ile hızlı olabilir)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Kamu inisiyatifleri:</w:t>
      </w:r>
      <w:r>
        <w:t xml:space="preserve"> </w:t>
      </w:r>
      <w:r>
        <w:t xml:space="preserve">TİM AI projesi, AI EDIH Türkiye gibi devlet destekli inisiyatiflerin ücretsiz/sübvansiyonlu rakip ürünler çıkarması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Ekonomik dalgalanma:</w:t>
      </w:r>
      <w:r>
        <w:t xml:space="preserve"> </w:t>
      </w:r>
      <w:r>
        <w:t xml:space="preserve">KOBİ’lerde yazılım yatırım kararlarının ertelenmesi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Hızlı teknoloji değişimi:</w:t>
      </w:r>
      <w:r>
        <w:t xml:space="preserve"> </w:t>
      </w:r>
      <w:r>
        <w:t xml:space="preserve">ML/AI ekosisteminde model eskimesi (sürekli AR-GE gerektirir)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Yetenek savaşları:</w:t>
      </w:r>
      <w:r>
        <w:t xml:space="preserve"> </w:t>
      </w:r>
      <w:r>
        <w:t xml:space="preserve">Senior yazılımcı ve ML uzmanı maaş baskısı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Marka tescili rekabeti:</w:t>
      </w:r>
      <w:r>
        <w:t xml:space="preserve"> </w:t>
      </w:r>
      <w:r>
        <w:t xml:space="preserve">ÜretimIQ adı için TPMK marka tescili henüz tamamlanmadı — başvuru süreci proje başlangıcının ilk 3 ayında tamamlanacak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Veri güvenliği endişeleri:</w:t>
      </w:r>
      <w:r>
        <w:t xml:space="preserve"> </w:t>
      </w:r>
      <w:r>
        <w:t xml:space="preserve">İmalat verisi paylaşımı konusunda KOBİ’lerin tedirginliği (KVKK uyumu ve edge computing ile çözülmektedir)</w:t>
      </w:r>
    </w:p>
    <w:p>
      <w:r>
        <w:pict>
          <v:rect style="width:0;height:1.5pt" o:hralign="center" o:hrstd="t" o:hr="t"/>
        </w:pict>
      </w:r>
    </w:p>
    <w:bookmarkEnd w:id="12"/>
    <w:bookmarkEnd w:id="13"/>
    <w:bookmarkStart w:id="14" w:name="risk-yönetim-matrisi"/>
    <w:p>
      <w:pPr>
        <w:pStyle w:val="Heading2"/>
      </w:pPr>
      <w:r>
        <w:t xml:space="preserve">2. Risk Yönetim Matrisi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86"/>
        <w:gridCol w:w="1622"/>
        <w:gridCol w:w="1240"/>
        <w:gridCol w:w="954"/>
        <w:gridCol w:w="572"/>
        <w:gridCol w:w="572"/>
        <w:gridCol w:w="267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Risk Kategorisi</w:t>
            </w:r>
          </w:p>
        </w:tc>
        <w:tc>
          <w:tcPr/>
          <w:p>
            <w:pPr>
              <w:pStyle w:val="Compact"/>
            </w:pPr>
            <w:r>
              <w:t xml:space="preserve">Risk Tanımı</w:t>
            </w:r>
          </w:p>
        </w:tc>
        <w:tc>
          <w:tcPr/>
          <w:p>
            <w:pPr>
              <w:pStyle w:val="Compact"/>
            </w:pPr>
            <w:r>
              <w:t xml:space="preserve">Olasılık</w:t>
            </w:r>
          </w:p>
        </w:tc>
        <w:tc>
          <w:tcPr/>
          <w:p>
            <w:pPr>
              <w:pStyle w:val="Compact"/>
            </w:pPr>
            <w:r>
              <w:t xml:space="preserve">Etki</w:t>
            </w:r>
          </w:p>
        </w:tc>
        <w:tc>
          <w:tcPr/>
          <w:p>
            <w:pPr>
              <w:pStyle w:val="Compact"/>
            </w:pPr>
            <w:r>
              <w:t xml:space="preserve">Skor</w:t>
            </w:r>
          </w:p>
        </w:tc>
        <w:tc>
          <w:tcPr/>
          <w:p>
            <w:pPr>
              <w:pStyle w:val="Compact"/>
            </w:pPr>
            <w:r>
              <w:t xml:space="preserve">Önlem / Azaltma Stratejisi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Teknik</w:t>
            </w:r>
          </w:p>
        </w:tc>
        <w:tc>
          <w:tcPr/>
          <w:p>
            <w:pPr>
              <w:pStyle w:val="Compact"/>
            </w:pPr>
            <w:r>
              <w:t xml:space="preserve">ML modellerinin %85+ doğruluk hedefini tutturamaması</w:t>
            </w:r>
          </w:p>
        </w:tc>
        <w:tc>
          <w:tcPr/>
          <w:p>
            <w:pPr>
              <w:pStyle w:val="Compact"/>
            </w:pPr>
            <w:r>
              <w:t xml:space="preserve">Orta</w:t>
            </w:r>
          </w:p>
        </w:tc>
        <w:tc>
          <w:tcPr/>
          <w:p>
            <w:pPr>
              <w:pStyle w:val="Compact"/>
            </w:pPr>
            <w:r>
              <w:t xml:space="preserve">Yüksek</w:t>
            </w:r>
          </w:p>
        </w:tc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Çoklu model yaklaşımı (LSTM + Prophet + XGBoost ensemble), iteratif iyileştirme, akademik danışmanlık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Pazar</w:t>
            </w:r>
          </w:p>
        </w:tc>
        <w:tc>
          <w:tcPr/>
          <w:p>
            <w:pPr>
              <w:pStyle w:val="Compact"/>
            </w:pPr>
            <w:r>
              <w:t xml:space="preserve">İlk yıl 25 müşteri hedefinin altında kalmak</w:t>
            </w:r>
          </w:p>
        </w:tc>
        <w:tc>
          <w:tcPr/>
          <w:p>
            <w:pPr>
              <w:pStyle w:val="Compact"/>
            </w:pPr>
            <w:r>
              <w:t xml:space="preserve">Orta</w:t>
            </w:r>
          </w:p>
        </w:tc>
        <w:tc>
          <w:tcPr/>
          <w:p>
            <w:pPr>
              <w:pStyle w:val="Compact"/>
            </w:pPr>
            <w:r>
              <w:t xml:space="preserve">Yüksek</w:t>
            </w:r>
          </w:p>
        </w:tc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Ücretsiz 3 aylık pilot programı, sektör fuarlarında aktif yer alma, referans müşteri stratejisi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Finansal</w:t>
            </w:r>
          </w:p>
        </w:tc>
        <w:tc>
          <w:tcPr/>
          <w:p>
            <w:pPr>
              <w:pStyle w:val="Compact"/>
            </w:pPr>
            <w:r>
              <w:t xml:space="preserve">KOSGEB desteğinin onaylanmaması</w:t>
            </w:r>
          </w:p>
        </w:tc>
        <w:tc>
          <w:tcPr/>
          <w:p>
            <w:pPr>
              <w:pStyle w:val="Compact"/>
            </w:pPr>
            <w:r>
              <w:t xml:space="preserve">Düşük</w:t>
            </w:r>
          </w:p>
        </w:tc>
        <w:tc>
          <w:tcPr/>
          <w:p>
            <w:pPr>
              <w:pStyle w:val="Compact"/>
            </w:pPr>
            <w:r>
              <w:t xml:space="preserve">Çok Yüksek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TÜBİTAK BiGG, KOBİ Dijital, melek yatırımcı yedek planı; minimum MVP düşük bütçeyle de geliştirilebilir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İnsan Kaynağı</w:t>
            </w:r>
          </w:p>
        </w:tc>
        <w:tc>
          <w:tcPr/>
          <w:p>
            <w:pPr>
              <w:pStyle w:val="Compact"/>
            </w:pPr>
            <w:r>
              <w:t xml:space="preserve">Senior ML uzmanı bulunamaması</w:t>
            </w:r>
          </w:p>
        </w:tc>
        <w:tc>
          <w:tcPr/>
          <w:p>
            <w:pPr>
              <w:pStyle w:val="Compact"/>
            </w:pPr>
            <w:r>
              <w:t xml:space="preserve">Orta</w:t>
            </w:r>
          </w:p>
        </w:tc>
        <w:tc>
          <w:tcPr/>
          <w:p>
            <w:pPr>
              <w:pStyle w:val="Compact"/>
            </w:pPr>
            <w:r>
              <w:t xml:space="preserve">Yüksek</w:t>
            </w:r>
          </w:p>
        </w:tc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Üniversite işbirliği (yüksek lisans öğrencileri), uzaktan çalışma esnekliği, hisse opsiyonu modeli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Operasyonel</w:t>
            </w:r>
          </w:p>
        </w:tc>
        <w:tc>
          <w:tcPr/>
          <w:p>
            <w:pPr>
              <w:pStyle w:val="Compact"/>
            </w:pPr>
            <w:r>
              <w:t xml:space="preserve">Veri toplama aşamasında pilot müşteri bulunamaması</w:t>
            </w:r>
          </w:p>
        </w:tc>
        <w:tc>
          <w:tcPr/>
          <w:p>
            <w:pPr>
              <w:pStyle w:val="Compact"/>
            </w:pPr>
            <w:r>
              <w:t xml:space="preserve">Düşük</w:t>
            </w:r>
          </w:p>
        </w:tc>
        <w:tc>
          <w:tcPr/>
          <w:p>
            <w:pPr>
              <w:pStyle w:val="Compact"/>
            </w:pPr>
            <w:r>
              <w:t xml:space="preserve">Yüksek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Veri karşılığı ücretsiz lisans modeli, sektör derneklerle (MESS, OAİB) işbirliği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Regülatif</w:t>
            </w:r>
          </w:p>
        </w:tc>
        <w:tc>
          <w:tcPr/>
          <w:p>
            <w:pPr>
              <w:pStyle w:val="Compact"/>
            </w:pPr>
            <w:r>
              <w:t xml:space="preserve">KVKK denetimi ve veri lokalizasyonu zorlukları</w:t>
            </w:r>
          </w:p>
        </w:tc>
        <w:tc>
          <w:tcPr/>
          <w:p>
            <w:pPr>
              <w:pStyle w:val="Compact"/>
            </w:pPr>
            <w:r>
              <w:t xml:space="preserve">Düşük</w:t>
            </w:r>
          </w:p>
        </w:tc>
        <w:tc>
          <w:tcPr/>
          <w:p>
            <w:pPr>
              <w:pStyle w:val="Compact"/>
            </w:pPr>
            <w:r>
              <w:t xml:space="preserve">Orta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Edge computing ile veri yerelliği, KVKK uyum danışmanlığı bütçeye dahil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Rekabet</w:t>
            </w:r>
          </w:p>
        </w:tc>
        <w:tc>
          <w:tcPr/>
          <w:p>
            <w:pPr>
              <w:pStyle w:val="Compact"/>
            </w:pPr>
            <w:r>
              <w:t xml:space="preserve">Büyük oyuncuların Türkçe destekli ürün lansmanı</w:t>
            </w:r>
          </w:p>
        </w:tc>
        <w:tc>
          <w:tcPr/>
          <w:p>
            <w:pPr>
              <w:pStyle w:val="Compact"/>
            </w:pPr>
            <w:r>
              <w:t xml:space="preserve">Düşük</w:t>
            </w:r>
          </w:p>
        </w:tc>
        <w:tc>
          <w:tcPr/>
          <w:p>
            <w:pPr>
              <w:pStyle w:val="Compact"/>
            </w:pPr>
            <w:r>
              <w:t xml:space="preserve">Yüksek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Yerel veri seti ve hızlı entegrasyonla farklılaşma, fiyat avantajını koruma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Siber Güvenlik</w:t>
            </w:r>
          </w:p>
        </w:tc>
        <w:tc>
          <w:tcPr/>
          <w:p>
            <w:pPr>
              <w:pStyle w:val="Compact"/>
            </w:pPr>
            <w:r>
              <w:t xml:space="preserve">Müşteri verisinin sızması</w:t>
            </w:r>
          </w:p>
        </w:tc>
        <w:tc>
          <w:tcPr/>
          <w:p>
            <w:pPr>
              <w:pStyle w:val="Compact"/>
            </w:pPr>
            <w:r>
              <w:t xml:space="preserve">Düşük</w:t>
            </w:r>
          </w:p>
        </w:tc>
        <w:tc>
          <w:tcPr/>
          <w:p>
            <w:pPr>
              <w:pStyle w:val="Compact"/>
            </w:pPr>
            <w:r>
              <w:t xml:space="preserve">Çok Yüksek</w:t>
            </w:r>
          </w:p>
        </w:tc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ISO 27001 yol haritası, şifreleme (at-rest + in-transit), penetrasyon testi yıllık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Teknolojik</w:t>
            </w:r>
          </w:p>
        </w:tc>
        <w:tc>
          <w:tcPr/>
          <w:p>
            <w:pPr>
              <w:pStyle w:val="Compact"/>
            </w:pPr>
            <w:r>
              <w:t xml:space="preserve">Cloud sağlayıcı maliyet artışı (USD bazlı)</w:t>
            </w:r>
          </w:p>
        </w:tc>
        <w:tc>
          <w:tcPr/>
          <w:p>
            <w:pPr>
              <w:pStyle w:val="Compact"/>
            </w:pPr>
            <w:r>
              <w:t xml:space="preserve">Yüksek</w:t>
            </w:r>
          </w:p>
        </w:tc>
        <w:tc>
          <w:tcPr/>
          <w:p>
            <w:pPr>
              <w:pStyle w:val="Compact"/>
            </w:pPr>
            <w:r>
              <w:t xml:space="preserve">Orta</w:t>
            </w:r>
          </w:p>
        </w:tc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Multi-cloud stratejisi, yerli cloud (TURKCELL, TÜRKSAT) alternatifleri, döviz hedge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Stratejik</w:t>
            </w:r>
          </w:p>
        </w:tc>
        <w:tc>
          <w:tcPr/>
          <w:p>
            <w:pPr>
              <w:pStyle w:val="Compact"/>
            </w:pPr>
            <w:r>
              <w:t xml:space="preserve">Pazar talebinin beklenenden yavaş büyümesi</w:t>
            </w:r>
          </w:p>
        </w:tc>
        <w:tc>
          <w:tcPr/>
          <w:p>
            <w:pPr>
              <w:pStyle w:val="Compact"/>
            </w:pPr>
            <w:r>
              <w:t xml:space="preserve">Orta</w:t>
            </w:r>
          </w:p>
        </w:tc>
        <w:tc>
          <w:tcPr/>
          <w:p>
            <w:pPr>
              <w:pStyle w:val="Compact"/>
            </w:pPr>
            <w:r>
              <w:t xml:space="preserve">Orta</w:t>
            </w:r>
          </w:p>
        </w:tc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Pivot esnekliği — perakende ve lojistik sektörlerine yatay geçiş kapasitesi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Marka / Hukuki</w:t>
            </w:r>
          </w:p>
        </w:tc>
        <w:tc>
          <w:tcPr/>
          <w:p>
            <w:pPr>
              <w:pStyle w:val="Compact"/>
            </w:pPr>
            <w:r>
              <w:t xml:space="preserve">TPMK marka tescili tamamlanmadan benzer isimli rakip ürün çıkışı</w:t>
            </w:r>
          </w:p>
        </w:tc>
        <w:tc>
          <w:tcPr/>
          <w:p>
            <w:pPr>
              <w:pStyle w:val="Compact"/>
            </w:pPr>
            <w:r>
              <w:t xml:space="preserve">Düşük</w:t>
            </w:r>
          </w:p>
        </w:tc>
        <w:tc>
          <w:tcPr/>
          <w:p>
            <w:pPr>
              <w:pStyle w:val="Compact"/>
            </w:pPr>
            <w:r>
              <w:t xml:space="preserve">Orta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TPMK 35-42. sınıf başvurusu projenin ilk 3 ayında; alan adı (</w:t>
            </w:r>
            <w:r>
              <w:rPr>
                <w:rStyle w:val="VerbatimChar"/>
              </w:rPr>
              <w:t xml:space="preserve">uretimiq.com.tr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.com</w:t>
            </w:r>
            <w:r>
              <w:t xml:space="preserve">) tescili; uluslararası WIPO başvuru opsiyonu</w:t>
            </w:r>
          </w:p>
        </w:tc>
      </w:tr>
    </w:tbl>
    <w:p>
      <w:pPr>
        <w:pStyle w:val="BodyText"/>
      </w:pPr>
      <w:r>
        <w:rPr>
          <w:b/>
          <w:bCs/>
        </w:rPr>
        <w:t xml:space="preserve">Skor:</w:t>
      </w:r>
      <w:r>
        <w:t xml:space="preserve"> </w:t>
      </w:r>
      <w:r>
        <w:t xml:space="preserve">Olasılık (1-3) x Etki (1-3). Skor &gt;= 6 olan riskler aktif izlenmektedir.</w:t>
      </w:r>
    </w:p>
    <w:p>
      <w:pPr>
        <w:pStyle w:val="BlockText"/>
      </w:pPr>
      <w:r>
        <w:rPr>
          <w:b/>
          <w:bCs/>
        </w:rPr>
        <w:t xml:space="preserve">Marka Notu:</w:t>
      </w:r>
      <w:r>
        <w:t xml:space="preserve"> </w:t>
      </w:r>
      <w:r>
        <w:t xml:space="preserve">Proje hazırlık aşamasında</w:t>
      </w:r>
      <w:r>
        <w:t xml:space="preserve"> </w:t>
      </w:r>
      <w:r>
        <w:t xml:space="preserve">“SupplyAI”</w:t>
      </w:r>
      <w:r>
        <w:t xml:space="preserve"> </w:t>
      </w:r>
      <w:r>
        <w:t xml:space="preserve">çalışma adı kullanılmış, ancak pazar araştırmasında bu adın SymphonyAI Industrial firmasının tescilli markası olduğu (</w:t>
      </w:r>
      <w:r>
        <w:rPr>
          <w:rStyle w:val="VerbatimChar"/>
        </w:rPr>
        <w:t xml:space="preserve">symphonyai.com/industrial/supplyai</w:t>
      </w:r>
      <w:r>
        <w:t xml:space="preserve">) tespit edilmiştir. Marka çakışmasını önlemek amacıyla ürün adı</w:t>
      </w:r>
      <w:r>
        <w:t xml:space="preserve"> </w:t>
      </w:r>
      <w:r>
        <w:rPr>
          <w:b/>
          <w:bCs/>
        </w:rPr>
        <w:t xml:space="preserve">“ÜretimIQ”</w:t>
      </w:r>
      <w:r>
        <w:t xml:space="preserve"> </w:t>
      </w:r>
      <w:r>
        <w:t xml:space="preserve">olarak güncellenmiştir. Bu adın yerel ve uluslararası tescil süreci proje başlangıcında başlatılacaktır.</w:t>
      </w:r>
    </w:p>
    <w:p>
      <w:r>
        <w:pict>
          <v:rect style="width:0;height:1.5pt" o:hralign="center" o:hrstd="t" o:hr="t"/>
        </w:pict>
      </w:r>
    </w:p>
    <w:bookmarkEnd w:id="14"/>
    <w:bookmarkStart w:id="15" w:name="risk-izleme-ve-raporlama"/>
    <w:p>
      <w:pPr>
        <w:pStyle w:val="Heading2"/>
      </w:pPr>
      <w:r>
        <w:t xml:space="preserve">3. Risk İzleme ve Raporlama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Aylık risk gözden geçirme:</w:t>
      </w:r>
      <w:r>
        <w:t xml:space="preserve"> </w:t>
      </w:r>
      <w:r>
        <w:t xml:space="preserve">Proje yöneticisi (Önder Öztürk) tüm aktif riskleri aylık raporlar.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Çeyrek dönemlik strateji revizyonu:</w:t>
      </w:r>
      <w:r>
        <w:t xml:space="preserve"> </w:t>
      </w:r>
      <w:r>
        <w:t xml:space="preserve">Risk seviyesi değişen kalemlerde stratejik yeniden konumlanma.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KPI’lar:</w:t>
      </w:r>
      <w:r>
        <w:t xml:space="preserve"> </w:t>
      </w:r>
      <w:r>
        <w:t xml:space="preserve">Müşteri kazanım hızı, model doğruluk oranı, çalışan turnover, runway (ay).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Erken uyarı sinyalleri:</w:t>
      </w:r>
      <w:r>
        <w:t xml:space="preserve"> </w:t>
      </w:r>
      <w:r>
        <w:t xml:space="preserve">Pilot müşteri sayısı 6. ay sonunda &lt; 3 ise pazarlama bütçesi yeniden değerlendirilir.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Bu doküman, KOSGEB başvurusunun risk analizi ekidir. Proje süresince güncellenecektir.</w:t>
      </w:r>
    </w:p>
    <w:bookmarkEnd w:id="15"/>
    <w:bookmarkEnd w:id="1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2026-05-03T15:17:41Z</dcterms:created>
  <dcterms:modified xsi:type="dcterms:W3CDTF">2026-05-03T15:17:41Z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