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4" w:name="kosgeb-bütçe-tablosu-üretimiq-projesi"/>
    <w:p>
      <w:pPr>
        <w:pStyle w:val="Heading1"/>
      </w:pPr>
      <w:r>
        <w:t xml:space="preserve">KOSGEB Bütçe Tablosu — ÜretimIQ Projesi</w:t>
      </w:r>
    </w:p>
    <w:p>
      <w:pPr>
        <w:pStyle w:val="FirstParagraph"/>
      </w:pPr>
      <w:r>
        <w:rPr>
          <w:b/>
          <w:bCs/>
        </w:rPr>
        <w:t xml:space="preserve">Şirket:</w:t>
      </w:r>
      <w:r>
        <w:t xml:space="preserve"> </w:t>
      </w:r>
      <w:r>
        <w:t xml:space="preserve">Kerege Ltd. Şti. (www.kerege.net) ·</w:t>
      </w:r>
      <w:r>
        <w:t xml:space="preserve"> </w:t>
      </w:r>
      <w:r>
        <w:rPr>
          <w:b/>
          <w:bCs/>
        </w:rPr>
        <w:t xml:space="preserve">Süre:</w:t>
      </w:r>
      <w:r>
        <w:t xml:space="preserve"> </w:t>
      </w:r>
      <w:r>
        <w:t xml:space="preserve">24 Ay (Q1/2026 – Q4/2027)</w:t>
      </w:r>
      <w:r>
        <w:t xml:space="preserve"> </w:t>
      </w:r>
      <w:r>
        <w:rPr>
          <w:b/>
          <w:bCs/>
        </w:rPr>
        <w:t xml:space="preserve">Toplam Proje Bütçesi: 1.950.000 ₺</w:t>
      </w:r>
      <w:r>
        <w:t xml:space="preserve"> </w:t>
      </w:r>
      <w:r>
        <w:rPr>
          <w:b/>
          <w:bCs/>
        </w:rPr>
        <w:t xml:space="preserve">KOSGEB Desteği Talebi: 1.560.000 ₺ (%80)</w:t>
      </w:r>
      <w:r>
        <w:t xml:space="preserve"> </w:t>
      </w:r>
      <w:r>
        <w:rPr>
          <w:b/>
          <w:bCs/>
        </w:rPr>
        <w:t xml:space="preserve">Öz Kaynak: 390.000 ₺ (%20)</w:t>
      </w:r>
    </w:p>
    <w:bookmarkStart w:id="9" w:name="kategori-özeti"/>
    <w:p>
      <w:pPr>
        <w:pStyle w:val="Heading2"/>
      </w:pPr>
      <w:r>
        <w:t xml:space="preserve">Kategori Özeti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Kategori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Tutar (₺)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Oran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KOSGEB Desteği (₺)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Öz Kaynak (₺)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Personel ve Hizmet Alımları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820.000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%42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656.000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164.000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AR-GE ve Yazılım Geliştirme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520.000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%27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416.000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104.000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Pazarlama ve Satış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260.000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%13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208.000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52.000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Altyapı ve Donanım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%11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168.000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42.000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Genel Giderler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%7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112.000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28.000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TOPLAM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1.950.000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/>
                <w:bCs/>
              </w:rPr>
              <w:t xml:space="preserve">%100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1.560.000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390.000</w:t>
            </w:r>
          </w:p>
        </w:tc>
      </w:tr>
    </w:tbl>
    <w:bookmarkEnd w:id="9"/>
    <w:bookmarkStart w:id="50" w:name="Xca3a6095e71d9561e76b19e6e238ed436740cbc"/>
    <w:p>
      <w:pPr>
        <w:pStyle w:val="Heading2"/>
      </w:pPr>
      <w:r>
        <w:t xml:space="preserve">Detaylı Kırılım — Aylık × Süre = Toplam (Kaynak Referansı ile)</w:t>
      </w:r>
    </w:p>
    <w:p>
      <w:pPr>
        <w:pStyle w:val="FirstParagraph"/>
      </w:pPr>
      <w:r>
        <w:t xml:space="preserve">Aşağıdaki tablo başvuru değerlendiricisinin her kalem için aylık bazda doğrulayabilmesi amacıyla hazırlanmıştır. Tek seferlik (CAPEX) kalemler için</w:t>
      </w:r>
      <w:r>
        <w:t xml:space="preserve"> </w:t>
      </w:r>
      <w:r>
        <w:rPr>
          <w:b/>
          <w:bCs/>
        </w:rPr>
        <w:t xml:space="preserve">Süre</w:t>
      </w:r>
      <w:r>
        <w:t xml:space="preserve"> </w:t>
      </w:r>
      <w:r>
        <w:t xml:space="preserve">sütunu ödeme penceresini gösterir; abonelik / hizmet kalemleri 24 aya yayılır.</w:t>
      </w:r>
    </w:p>
    <w:bookmarkStart w:id="15" w:name="personel-ve-hizmet-alımları-820.000-42"/>
    <w:p>
      <w:pPr>
        <w:pStyle w:val="Heading3"/>
      </w:pPr>
      <w:r>
        <w:t xml:space="preserve">1. Personel ve Hizmet Alımları — 820.000 ₺ (%42)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90"/>
        <w:gridCol w:w="1320"/>
        <w:gridCol w:w="1650"/>
        <w:gridCol w:w="1320"/>
        <w:gridCol w:w="1650"/>
        <w:gridCol w:w="99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Kalem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Aylık ₺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Süre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Toplam ₺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Tip</w:t>
            </w:r>
          </w:p>
        </w:tc>
        <w:tc>
          <w:tcPr/>
          <w:p>
            <w:pPr>
              <w:pStyle w:val="Compact"/>
            </w:pPr>
            <w:r>
              <w:t xml:space="preserve">Kaynak / Referans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Kurucu çalışma karşılığı (Önder Öztürk, tam zamanlı — proje yönetimi, ML/yazılım geliştirme, satış)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 ay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600.000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OPEX</w:t>
            </w:r>
          </w:p>
        </w:tc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KOSGEB GDP rehberi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11">
              <w:r>
                <w:rPr>
                  <w:rStyle w:val="Hyperlink"/>
                </w:rPr>
                <w:t xml:space="preserve">TÜİK Yazılım Ücret İstatistikleri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Freelance / proje bazlı yazılım desteği (frontend, backend, DevOps)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~6.250 (ort.)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 ay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OPEX</w:t>
            </w:r>
          </w:p>
        </w:tc>
        <w:tc>
          <w:tcPr/>
          <w:p>
            <w:pPr>
              <w:pStyle w:val="Compact"/>
            </w:pPr>
            <w:hyperlink r:id="rId12">
              <w:r>
                <w:rPr>
                  <w:rStyle w:val="Hyperlink"/>
                </w:rPr>
                <w:t xml:space="preserve">Bionluk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13">
              <w:r>
                <w:rPr>
                  <w:rStyle w:val="Hyperlink"/>
                </w:rPr>
                <w:t xml:space="preserve">Upwork TR rates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Stajyer / part-time destek (üniversite öğrencisi — etiketleme, test, dokümantasyon)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~5.833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 ay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OPEX</w:t>
            </w:r>
          </w:p>
        </w:tc>
        <w:tc>
          <w:tcPr/>
          <w:p>
            <w:pPr>
              <w:pStyle w:val="Compact"/>
            </w:pPr>
            <w:hyperlink r:id="rId14">
              <w:r>
                <w:rPr>
                  <w:rStyle w:val="Hyperlink"/>
                </w:rPr>
                <w:t xml:space="preserve">İŞKUR Stajyer Programları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Alt toplam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820.000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15"/>
    <w:bookmarkStart w:id="25" w:name="ar-ge-ve-yazılım-geliştirme-520.000-27"/>
    <w:p>
      <w:pPr>
        <w:pStyle w:val="Heading3"/>
      </w:pPr>
      <w:r>
        <w:t xml:space="preserve">2. AR-GE ve Yazılım Geliştirme — 520.000 ₺ (%27)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90"/>
        <w:gridCol w:w="1320"/>
        <w:gridCol w:w="1650"/>
        <w:gridCol w:w="1320"/>
        <w:gridCol w:w="1650"/>
        <w:gridCol w:w="99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Kalem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Aylık ₺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Süre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Toplam ₺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Tip</w:t>
            </w:r>
          </w:p>
        </w:tc>
        <w:tc>
          <w:tcPr/>
          <w:p>
            <w:pPr>
              <w:pStyle w:val="Compact"/>
            </w:pPr>
            <w:r>
              <w:t xml:space="preserve">Kaynak / Referans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Cloud GPU model eğitimi (AWS SageMaker / Azure ML / Lambda — H100/A100)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 ay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OPEX</w:t>
            </w:r>
          </w:p>
        </w:tc>
        <w:tc>
          <w:tcPr/>
          <w:p>
            <w:pPr>
              <w:pStyle w:val="Compact"/>
            </w:pPr>
            <w:hyperlink r:id="rId16">
              <w:r>
                <w:rPr>
                  <w:rStyle w:val="Hyperlink"/>
                </w:rPr>
                <w:t xml:space="preserve">AWS SageMaker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17">
              <w:r>
                <w:rPr>
                  <w:rStyle w:val="Hyperlink"/>
                </w:rPr>
                <w:t xml:space="preserve">Azure ML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18">
              <w:r>
                <w:rPr>
                  <w:rStyle w:val="Hyperlink"/>
                </w:rPr>
                <w:t xml:space="preserve">Lambda Labs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Yazılım lisansları &amp; DevOps (GitHub Enterprise, Sentry, Datadog, JetBrains, MLflow Pro)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~3.333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 ay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OPEX</w:t>
            </w:r>
          </w:p>
        </w:tc>
        <w:tc>
          <w:tcPr/>
          <w:p>
            <w:pPr>
              <w:pStyle w:val="Compact"/>
            </w:pPr>
            <w:hyperlink r:id="rId19">
              <w:r>
                <w:rPr>
                  <w:rStyle w:val="Hyperlink"/>
                </w:rPr>
                <w:t xml:space="preserve">GitHub Pricing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20">
              <w:r>
                <w:rPr>
                  <w:rStyle w:val="Hyperlink"/>
                </w:rPr>
                <w:t xml:space="preserve">Datadog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21">
              <w:r>
                <w:rPr>
                  <w:rStyle w:val="Hyperlink"/>
                </w:rPr>
                <w:t xml:space="preserve">JetBrains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Türkçe imalat veri seti edinimi &amp; etiketleme (IoT veri toplama partneri + servis)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~7.500 (kademeli)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 ay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Karma</w:t>
            </w:r>
          </w:p>
        </w:tc>
        <w:tc>
          <w:tcPr/>
          <w:p>
            <w:pPr>
              <w:pStyle w:val="Compact"/>
            </w:pPr>
            <w:hyperlink r:id="rId22">
              <w:r>
                <w:rPr>
                  <w:rStyle w:val="Hyperlink"/>
                </w:rPr>
                <w:t xml:space="preserve">Scale AI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TÜBİTAK 1505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Üniversite-sanayi danışmanlığı (KSBÜ Bilgisayar Müh. + İTÜ AI Lab.)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~5.833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 ay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OPEX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link"/>
                </w:rPr>
                <w:t xml:space="preserve">TÜBİTAK 1505 Programı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Alt toplam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520.000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34" w:name="pazarlama-ve-satış-260.000-13"/>
    <w:p>
      <w:pPr>
        <w:pStyle w:val="Heading3"/>
      </w:pPr>
      <w:r>
        <w:t xml:space="preserve">3. Pazarlama ve Satış — 260.000 ₺ (%13)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90"/>
        <w:gridCol w:w="1320"/>
        <w:gridCol w:w="1650"/>
        <w:gridCol w:w="1320"/>
        <w:gridCol w:w="1650"/>
        <w:gridCol w:w="99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Kalem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Aylık / Birim ₺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Süre / Adet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Toplam ₺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Tip</w:t>
            </w:r>
          </w:p>
        </w:tc>
        <w:tc>
          <w:tcPr/>
          <w:p>
            <w:pPr>
              <w:pStyle w:val="Compact"/>
            </w:pPr>
            <w:r>
              <w:t xml:space="preserve">Kaynak / Referans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Web sitesi, SEO, demo ortamı (domain, hosting, içerik, teknik SEO)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~1.667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 ay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OPEX</w:t>
            </w:r>
          </w:p>
        </w:tc>
        <w:tc>
          <w:tcPr/>
          <w:p>
            <w:pPr>
              <w:pStyle w:val="Compact"/>
            </w:pPr>
            <w:hyperlink r:id="rId26">
              <w:r>
                <w:rPr>
                  <w:rStyle w:val="Hyperlink"/>
                </w:rPr>
                <w:t xml:space="preserve">Route53 + Cloudflare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27">
              <w:r>
                <w:rPr>
                  <w:rStyle w:val="Hyperlink"/>
                </w:rPr>
                <w:t xml:space="preserve">Ahrefs SEO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Fuar katılımları (Win Eurasia + Makine İmalatı Fuarı — stand + lojistik)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40.000 / etkinlik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 etkinlik (ay 8, ay 20)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CAPEX-pencere</w:t>
            </w:r>
          </w:p>
        </w:tc>
        <w:tc>
          <w:tcPr/>
          <w:p>
            <w:pPr>
              <w:pStyle w:val="Compact"/>
            </w:pPr>
            <w:hyperlink r:id="rId28">
              <w:r>
                <w:rPr>
                  <w:rStyle w:val="Hyperlink"/>
                </w:rPr>
                <w:t xml:space="preserve">Win Eurasia (350-450 €/m²)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29">
              <w:r>
                <w:rPr>
                  <w:rStyle w:val="Hyperlink"/>
                </w:rPr>
                <w:t xml:space="preserve">Makine İmalatı Fuarı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Dijital reklam (Google Ads + LinkedIn Sponsored — B2B retargeting)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~3.333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 ay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OPEX</w:t>
            </w:r>
          </w:p>
        </w:tc>
        <w:tc>
          <w:tcPr/>
          <w:p>
            <w:pPr>
              <w:pStyle w:val="Compact"/>
            </w:pPr>
            <w:hyperlink r:id="rId30">
              <w:r>
                <w:rPr>
                  <w:rStyle w:val="Hyperlink"/>
                </w:rPr>
                <w:t xml:space="preserve">Google Ads TR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31">
              <w:r>
                <w:rPr>
                  <w:rStyle w:val="Hyperlink"/>
                </w:rPr>
                <w:t xml:space="preserve">LinkedIn Ads B2B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Müşteri ziyaretleri ve seyahat (yurtiçi pilot + 1 yurtdışı — Hannover Messe)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~2.500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 ay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OPEX</w:t>
            </w:r>
          </w:p>
        </w:tc>
        <w:tc>
          <w:tcPr/>
          <w:p>
            <w:pPr>
              <w:pStyle w:val="Compact"/>
            </w:pPr>
            <w:hyperlink r:id="rId32">
              <w:r>
                <w:rPr>
                  <w:rStyle w:val="Hyperlink"/>
                </w:rPr>
                <w:t xml:space="preserve">THY kurumsal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33">
              <w:r>
                <w:rPr>
                  <w:rStyle w:val="Hyperlink"/>
                </w:rPr>
                <w:t xml:space="preserve">Hannover Messe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Alt toplam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260.000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4"/>
    <w:bookmarkStart w:id="41" w:name="altyapı-ve-donanım-210.000-11"/>
    <w:p>
      <w:pPr>
        <w:pStyle w:val="Heading3"/>
      </w:pPr>
      <w:r>
        <w:t xml:space="preserve">4. Altyapı ve Donanım — 210.000 ₺ (%11)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90"/>
        <w:gridCol w:w="1320"/>
        <w:gridCol w:w="1650"/>
        <w:gridCol w:w="1320"/>
        <w:gridCol w:w="1650"/>
        <w:gridCol w:w="99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Kalem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Aylık / Birim ₺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Süre / Adet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Toplam ₺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Tip</w:t>
            </w:r>
          </w:p>
        </w:tc>
        <w:tc>
          <w:tcPr/>
          <w:p>
            <w:pPr>
              <w:pStyle w:val="Compact"/>
            </w:pPr>
            <w:r>
              <w:t xml:space="preserve">Kaynak / Referans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Cloud (AWS/Azure) prod + staging + dev (RDS, S3, CloudFront, EKS, monitoring)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~4.167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 ay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OPEX</w:t>
            </w:r>
          </w:p>
        </w:tc>
        <w:tc>
          <w:tcPr/>
          <w:p>
            <w:pPr>
              <w:pStyle w:val="Compact"/>
            </w:pPr>
            <w:hyperlink r:id="rId35">
              <w:r>
                <w:rPr>
                  <w:rStyle w:val="Hyperlink"/>
                </w:rPr>
                <w:t xml:space="preserve">AWS Calculator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36">
              <w:r>
                <w:rPr>
                  <w:rStyle w:val="Hyperlink"/>
                </w:rPr>
                <w:t xml:space="preserve">Azure Calculator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IoT sensörler &amp; test cihazları (titreşim, sıcaklık, akım — Bosch + Siemens)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~10.000 / parti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 parti (ay 3-12)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CAPEX</w:t>
            </w:r>
          </w:p>
        </w:tc>
        <w:tc>
          <w:tcPr/>
          <w:p>
            <w:pPr>
              <w:pStyle w:val="Compact"/>
            </w:pPr>
            <w:hyperlink r:id="rId37">
              <w:r>
                <w:rPr>
                  <w:rStyle w:val="Hyperlink"/>
                </w:rPr>
                <w:t xml:space="preserve">Bosch Sensortec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38">
              <w:r>
                <w:rPr>
                  <w:rStyle w:val="Hyperlink"/>
                </w:rPr>
                <w:t xml:space="preserve">Siemens Sensors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Edge computing donanımı (NVIDIA Jetson Orin Nano + endüstriyel kasa, Pi 5)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~5.000 / birim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 birim (ay 4-10)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CAPEX</w:t>
            </w:r>
          </w:p>
        </w:tc>
        <w:tc>
          <w:tcPr/>
          <w:p>
            <w:pPr>
              <w:pStyle w:val="Compact"/>
            </w:pPr>
            <w:hyperlink r:id="rId39">
              <w:r>
                <w:rPr>
                  <w:rStyle w:val="Hyperlink"/>
                </w:rPr>
                <w:t xml:space="preserve">NVIDIA Jetson Orin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40">
              <w:r>
                <w:rPr>
                  <w:rStyle w:val="Hyperlink"/>
                </w:rPr>
                <w:t xml:space="preserve">Raspberry Pi 5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Geliştirme laptopları (paylaşımlı kullanım — 2 cihaz)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10.000 / cihaz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 cihaz (ay 1)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CAPEX</w:t>
            </w:r>
          </w:p>
        </w:tc>
        <w:tc>
          <w:tcPr/>
          <w:p>
            <w:pPr>
              <w:pStyle w:val="Compact"/>
            </w:pPr>
            <w:r>
              <w:t xml:space="preserve">Apple MacBook Pro / Dell Precision TR liste 2026 Q1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Alt toplam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210.000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41"/>
    <w:bookmarkStart w:id="49" w:name="genel-giderler-140.000-7"/>
    <w:p>
      <w:pPr>
        <w:pStyle w:val="Heading3"/>
      </w:pPr>
      <w:r>
        <w:t xml:space="preserve">5. Genel Giderler — 140.000 ₺ (%7)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90"/>
        <w:gridCol w:w="1320"/>
        <w:gridCol w:w="1650"/>
        <w:gridCol w:w="1320"/>
        <w:gridCol w:w="1650"/>
        <w:gridCol w:w="99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Kalem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Aylık / Birim ₺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Süre / Adet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Toplam ₺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Tip</w:t>
            </w:r>
          </w:p>
        </w:tc>
        <w:tc>
          <w:tcPr/>
          <w:p>
            <w:pPr>
              <w:pStyle w:val="Compact"/>
            </w:pPr>
            <w:r>
              <w:t xml:space="preserve">Kaynak / Referans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Patent başvurusu (TÜRKPATENT ulusal — başvuru + araştırma + inceleme + tescil; 2 patent)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12.500 / patent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 patent (ay 6, ay 18)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CAPEX-etap</w:t>
            </w:r>
          </w:p>
        </w:tc>
        <w:tc>
          <w:tcPr/>
          <w:p>
            <w:pPr>
              <w:pStyle w:val="Compact"/>
            </w:pPr>
            <w:hyperlink r:id="rId42">
              <w:r>
                <w:rPr>
                  <w:rStyle w:val="Hyperlink"/>
                </w:rPr>
                <w:t xml:space="preserve">TÜRKPATENT 2026 Ücret Tarifesi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Muhasebe &amp; hukuk danışmanlığı (SMMM + avukat — aylık serbest meslek + sözleşmeler)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2.500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 ay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OPEX</w:t>
            </w:r>
          </w:p>
        </w:tc>
        <w:tc>
          <w:tcPr/>
          <w:p>
            <w:pPr>
              <w:pStyle w:val="Compact"/>
            </w:pPr>
            <w:hyperlink r:id="rId43">
              <w:r>
                <w:rPr>
                  <w:rStyle w:val="Hyperlink"/>
                </w:rPr>
                <w:t xml:space="preserve">TURMOB SMMM Tarifesi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44">
              <w:r>
                <w:rPr>
                  <w:rStyle w:val="Hyperlink"/>
                </w:rPr>
                <w:t xml:space="preserve">TBB Avukatlık Tarifesi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KVKK / GDPR uyum danışmanlığı (analiz + VERBİS kayıt + aydınlatma + DPIA)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25.000 / paket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 paket (ay 2-4)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CAPEX</w:t>
            </w:r>
          </w:p>
        </w:tc>
        <w:tc>
          <w:tcPr/>
          <w:p>
            <w:pPr>
              <w:pStyle w:val="Compact"/>
            </w:pPr>
            <w:hyperlink r:id="rId45">
              <w:r>
                <w:rPr>
                  <w:rStyle w:val="Hyperlink"/>
                </w:rPr>
                <w:t xml:space="preserve">KVKK Kurumu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46">
              <w:r>
                <w:rPr>
                  <w:rStyle w:val="Hyperlink"/>
                </w:rPr>
                <w:t xml:space="preserve">VERBİS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Ofis (coworking), eğitim, kırtasiye (sertifikasyon + sarf malzeme)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1.250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 ay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30.000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OPEX</w:t>
            </w:r>
          </w:p>
        </w:tc>
        <w:tc>
          <w:tcPr/>
          <w:p>
            <w:pPr>
              <w:pStyle w:val="Compact"/>
            </w:pPr>
            <w:hyperlink r:id="rId47">
              <w:r>
                <w:rPr>
                  <w:rStyle w:val="Hyperlink"/>
                </w:rPr>
                <w:t xml:space="preserve">Workinton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48">
              <w:r>
                <w:rPr>
                  <w:rStyle w:val="Hyperlink"/>
                </w:rPr>
                <w:t xml:space="preserve">Coursera Business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Alt toplam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140.000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Genel Toplam: 1.950.000 ₺</w:t>
      </w:r>
      <w:r>
        <w:t xml:space="preserve"> </w:t>
      </w:r>
      <w:r>
        <w:t xml:space="preserve">(820.000 + 520.000 + 260.000 + 210.000 + 140.000).</w:t>
      </w:r>
    </w:p>
    <w:bookmarkEnd w:id="49"/>
    <w:bookmarkEnd w:id="50"/>
    <w:bookmarkStart w:id="51" w:name="yıllık-nakit-akışı-dağılımı"/>
    <w:p>
      <w:pPr>
        <w:pStyle w:val="Heading2"/>
      </w:pPr>
      <w:r>
        <w:t xml:space="preserve">Yıllık Nakit Akışı Dağılımı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80"/>
        <w:gridCol w:w="1173"/>
        <w:gridCol w:w="1173"/>
        <w:gridCol w:w="1173"/>
        <w:gridCol w:w="1173"/>
        <w:gridCol w:w="1173"/>
        <w:gridCol w:w="117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Dönem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Personel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AR-GE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Pazarlama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Altyapı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Genel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Toplam</w:t>
            </w:r>
          </w:p>
        </w:tc>
      </w:tr>
      <w:tr>
        <w:tc>
          <w:tcPr/>
          <w:p>
            <w:pPr>
              <w:pStyle w:val="Compact"/>
            </w:pPr>
            <w:r>
              <w:t xml:space="preserve">Yıl 1 (2026, ay 1-12)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410.000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260.000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110.000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140.000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55.000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975.000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Yıl 2 (2027, ay 13-24)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410.000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260.000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150.000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70.000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85.000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975.000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Toplam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820.000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520.000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260.000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210.000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140.000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1.950.000</w:t>
            </w:r>
          </w:p>
        </w:tc>
      </w:tr>
    </w:tbl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Yıl 1 (2026):</w:t>
      </w:r>
      <w:r>
        <w:t xml:space="preserve"> </w:t>
      </w:r>
      <w:r>
        <w:t xml:space="preserve">AR-GE ağırlıklı — donanım edinimi, veri seti, MVP geliştirme.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Yıl 2 (2027):</w:t>
      </w:r>
      <w:r>
        <w:t xml:space="preserve"> </w:t>
      </w:r>
      <w:r>
        <w:t xml:space="preserve">Ticarileşme ağırlıklı — fuar, dijital reklam, satış seyahati.</w:t>
      </w:r>
    </w:p>
    <w:bookmarkEnd w:id="51"/>
    <w:bookmarkStart w:id="52" w:name="gelir-projeksiyonu-ve-geri-dönüş"/>
    <w:p>
      <w:pPr>
        <w:pStyle w:val="Heading2"/>
      </w:pPr>
      <w:r>
        <w:t xml:space="preserve">Gelir Projeksiyonu ve Geri Dönüş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50"/>
        <w:gridCol w:w="1667"/>
        <w:gridCol w:w="1667"/>
        <w:gridCol w:w="1667"/>
        <w:gridCol w:w="166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Yıl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Tahmini Ciro (₺)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Tahmini Maliyet (₺)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Net Kar (₺)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Kümülatif (₺)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1.400.000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750.000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650.000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650.000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4.200.000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1.300.000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2.900.000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3.550.000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8.100.000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1.800.000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6.300.000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9.850.000</w:t>
            </w:r>
          </w:p>
        </w:tc>
      </w:tr>
    </w:tbl>
    <w:p>
      <w:pPr>
        <w:pStyle w:val="BodyText"/>
      </w:pPr>
      <w:r>
        <w:rPr>
          <w:b/>
          <w:bCs/>
        </w:rPr>
        <w:t xml:space="preserve">Break-Even:</w:t>
      </w:r>
      <w:r>
        <w:t xml:space="preserve"> </w:t>
      </w:r>
      <w:r>
        <w:t xml:space="preserve">28-30. ayda (yaklaşık 2.5 yıl).</w:t>
      </w:r>
      <w:r>
        <w:t xml:space="preserve"> </w:t>
      </w:r>
      <w:r>
        <w:rPr>
          <w:b/>
          <w:bCs/>
        </w:rPr>
        <w:t xml:space="preserve">Geri Ödeme Planı:</w:t>
      </w:r>
      <w:r>
        <w:t xml:space="preserve"> </w:t>
      </w:r>
      <w:r>
        <w:t xml:space="preserve">KOSGEB GDP kuralları uyarınca cirodan tahsil edilen taksitlerle 3. yıl sonunda rahatlıkla karşılanır.</w:t>
      </w:r>
    </w:p>
    <w:bookmarkEnd w:id="52"/>
    <w:bookmarkStart w:id="53" w:name="notlar-ve-gerekçelendirme"/>
    <w:p>
      <w:pPr>
        <w:pStyle w:val="Heading2"/>
      </w:pPr>
      <w:r>
        <w:t xml:space="preserve">Notlar ve Gerekçelendirme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Çalışma karşılığı:</w:t>
      </w:r>
      <w:r>
        <w:t xml:space="preserve"> </w:t>
      </w:r>
      <w:r>
        <w:t xml:space="preserve">Kurucu Önder Öztürk için aylık 25.000 ₺ net çalışma karşılığı; freelance saat ücretleri (Bionluk/Upwork 2026 ortalaması) ve İŞKUR stajyer ücretleri baz alınmıştır.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Cloud maliyetleri:</w:t>
      </w:r>
      <w:r>
        <w:t xml:space="preserve"> </w:t>
      </w:r>
      <w:r>
        <w:t xml:space="preserve">AWS/Azure üretim + staging + dev ortamı için aylık ~4.000-5.000 ₺ + GPU eğitim için ek ~5.000 ₺/ay hesaplanmıştır.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Yapı:</w:t>
      </w:r>
      <w:r>
        <w:t xml:space="preserve"> </w:t>
      </w:r>
      <w:r>
        <w:t xml:space="preserve">Solo founder. Kerege Ltd. Şti. tek kurucudan oluşur; sabit personel yoktur, dış hizmet alımları proje bazlıdır.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Bütçe yapısı:</w:t>
      </w:r>
      <w:r>
        <w:t xml:space="preserve"> </w:t>
      </w:r>
      <w:r>
        <w:t xml:space="preserve">KOSGEB rehberine uygun (makine yerine yazılım/AR-GE/personel ağırlıklı) hazırlanmıştır.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Kaynak doğrulama:</w:t>
      </w:r>
      <w:r>
        <w:t xml:space="preserve"> </w:t>
      </w:r>
      <w:r>
        <w:t xml:space="preserve">Tüm fiyat varsayımları yukarıdaki kaynak bağlantılarına dayanır; resmi listelerden (TÜRKPATENT, KOSGEB, KVKK, TÜBİTAK) ve kurumsal fiyatlandırma sayfalarından alınmıştır.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Excel versiyonu:</w:t>
      </w:r>
      <w:r>
        <w:t xml:space="preserve"> </w:t>
      </w:r>
      <w:r>
        <w:t xml:space="preserve">Bu tabloyu doğrudan Excel’e kopyalayabilir veya</w:t>
      </w:r>
      <w:r>
        <w:t xml:space="preserve"> </w:t>
      </w:r>
      <w:r>
        <w:rPr>
          <w:rStyle w:val="VerbatimChar"/>
        </w:rPr>
        <w:t xml:space="preserve">butce.csv</w:t>
      </w:r>
      <w:r>
        <w:t xml:space="preserve"> </w:t>
      </w:r>
      <w:r>
        <w:t xml:space="preserve">dosyasını içe aktarabilirsiniz.</w:t>
      </w:r>
    </w:p>
    <w:p>
      <w:pPr>
        <w:pStyle w:val="FirstParagraph"/>
      </w:pPr>
      <w:r>
        <w:t xml:space="preserve">Bu tabloyu Proje Bilgi Dokümanı’na ek olarak yükleyiniz.</w:t>
      </w:r>
    </w:p>
    <w:bookmarkEnd w:id="53"/>
    <w:bookmarkEnd w:id="5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30" Target="https://ads.google.com/intl/tr_tr/home/pricing/" TargetMode="External" /><Relationship Type="http://schemas.openxmlformats.org/officeDocument/2006/relationships/hyperlink" Id="rId27" Target="https://ahrefs.com/pricing" TargetMode="External" /><Relationship Type="http://schemas.openxmlformats.org/officeDocument/2006/relationships/hyperlink" Id="rId26" Target="https://aws.amazon.com/route53/pricing/" TargetMode="External" /><Relationship Type="http://schemas.openxmlformats.org/officeDocument/2006/relationships/hyperlink" Id="rId16" Target="https://aws.amazon.com/tr/sagemaker/pricing/" TargetMode="External" /><Relationship Type="http://schemas.openxmlformats.org/officeDocument/2006/relationships/hyperlink" Id="rId36" Target="https://azure.microsoft.com/tr-tr/pricing/calculator/" TargetMode="External" /><Relationship Type="http://schemas.openxmlformats.org/officeDocument/2006/relationships/hyperlink" Id="rId17" Target="https://azure.microsoft.com/tr-tr/pricing/details/machine-learning/" TargetMode="External" /><Relationship Type="http://schemas.openxmlformats.org/officeDocument/2006/relationships/hyperlink" Id="rId31" Target="https://business.linkedin.com/marketing-solutions/cx/17/06/advertise-on-linkedin" TargetMode="External" /><Relationship Type="http://schemas.openxmlformats.org/officeDocument/2006/relationships/hyperlink" Id="rId35" Target="https://calculator.aws/" TargetMode="External" /><Relationship Type="http://schemas.openxmlformats.org/officeDocument/2006/relationships/hyperlink" Id="rId11" Target="https://data.tuik.gov.tr/Kategori/GetKategori?p=istihdam-issizlik-ve-ucret-108" TargetMode="External" /><Relationship Type="http://schemas.openxmlformats.org/officeDocument/2006/relationships/hyperlink" Id="rId19" Target="https://github.com/pricing" TargetMode="External" /><Relationship Type="http://schemas.openxmlformats.org/officeDocument/2006/relationships/hyperlink" Id="rId18" Target="https://lambdalabs.com/service/gpu-cloud" TargetMode="External" /><Relationship Type="http://schemas.openxmlformats.org/officeDocument/2006/relationships/hyperlink" Id="rId22" Target="https://scale.com/pricing" TargetMode="External" /><Relationship Type="http://schemas.openxmlformats.org/officeDocument/2006/relationships/hyperlink" Id="rId46" Target="https://verbis.kvkk.gov.tr/" TargetMode="External" /><Relationship Type="http://schemas.openxmlformats.org/officeDocument/2006/relationships/hyperlink" Id="rId44" Target="https://www.barobirlik.org.tr/" TargetMode="External" /><Relationship Type="http://schemas.openxmlformats.org/officeDocument/2006/relationships/hyperlink" Id="rId12" Target="https://www.bionluk.com/" TargetMode="External" /><Relationship Type="http://schemas.openxmlformats.org/officeDocument/2006/relationships/hyperlink" Id="rId37" Target="https://www.bosch-sensortec.com/products/" TargetMode="External" /><Relationship Type="http://schemas.openxmlformats.org/officeDocument/2006/relationships/hyperlink" Id="rId48" Target="https://www.coursera.org/business" TargetMode="External" /><Relationship Type="http://schemas.openxmlformats.org/officeDocument/2006/relationships/hyperlink" Id="rId20" Target="https://www.datadoghq.com/pricing/" TargetMode="External" /><Relationship Type="http://schemas.openxmlformats.org/officeDocument/2006/relationships/hyperlink" Id="rId33" Target="https://www.hannovermesse.de/" TargetMode="External" /><Relationship Type="http://schemas.openxmlformats.org/officeDocument/2006/relationships/hyperlink" Id="rId14" Target="https://www.iskur.gov.tr/is-arayan/issizlik-ve-uyum-yardimlari/iskur-stajyer-destegi/" TargetMode="External" /><Relationship Type="http://schemas.openxmlformats.org/officeDocument/2006/relationships/hyperlink" Id="rId21" Target="https://www.jetbrains.com/store/" TargetMode="External" /><Relationship Type="http://schemas.openxmlformats.org/officeDocument/2006/relationships/hyperlink" Id="rId10" Target="https://www.kosgeb.gov.tr/site/tr/genel/destekdetay/3287/girisimcilik-destek-programi" TargetMode="External" /><Relationship Type="http://schemas.openxmlformats.org/officeDocument/2006/relationships/hyperlink" Id="rId45" Target="https://www.kvkk.gov.tr/" TargetMode="External" /><Relationship Type="http://schemas.openxmlformats.org/officeDocument/2006/relationships/hyperlink" Id="rId29" Target="https://www.makinafuari.com.tr/" TargetMode="External" /><Relationship Type="http://schemas.openxmlformats.org/officeDocument/2006/relationships/hyperlink" Id="rId39" Target="https://www.nvidia.com/tr-tr/autonomous-machines/embedded-systems/jetson-orin/" TargetMode="External" /><Relationship Type="http://schemas.openxmlformats.org/officeDocument/2006/relationships/hyperlink" Id="rId40" Target="https://www.raspberrypi.com/products/raspberry-pi-5/" TargetMode="External" /><Relationship Type="http://schemas.openxmlformats.org/officeDocument/2006/relationships/hyperlink" Id="rId38" Target="https://www.siemens.com/global/en/products/automation/sensor-systems.html" TargetMode="External" /><Relationship Type="http://schemas.openxmlformats.org/officeDocument/2006/relationships/hyperlink" Id="rId32" Target="https://www.thy.com/" TargetMode="External" /><Relationship Type="http://schemas.openxmlformats.org/officeDocument/2006/relationships/hyperlink" Id="rId23" Target="https://www.tubitak.gov.tr/tr/destekler/sanayi/ulusal-destek-programlari" TargetMode="External" /><Relationship Type="http://schemas.openxmlformats.org/officeDocument/2006/relationships/hyperlink" Id="rId24" Target="https://www.tubitak.gov.tr/tr/destekler/sanayi/ulusal-destek-programlari/icerik-1505-universite-sanayi-isbirligi-destek-programi" TargetMode="External" /><Relationship Type="http://schemas.openxmlformats.org/officeDocument/2006/relationships/hyperlink" Id="rId42" Target="https://www.turkpatent.gov.tr/ucret-tarifesi" TargetMode="External" /><Relationship Type="http://schemas.openxmlformats.org/officeDocument/2006/relationships/hyperlink" Id="rId43" Target="https://www.turmob.org.tr/" TargetMode="External" /><Relationship Type="http://schemas.openxmlformats.org/officeDocument/2006/relationships/hyperlink" Id="rId13" Target="https://www.upwork.com/hire/" TargetMode="External" /><Relationship Type="http://schemas.openxmlformats.org/officeDocument/2006/relationships/hyperlink" Id="rId28" Target="https://www.win-eurasia.com/" TargetMode="External" /><Relationship Type="http://schemas.openxmlformats.org/officeDocument/2006/relationships/hyperlink" Id="rId47" Target="https://www.workinton.com/t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ads.google.com/intl/tr_tr/home/pricing/" TargetMode="External" /><Relationship Type="http://schemas.openxmlformats.org/officeDocument/2006/relationships/hyperlink" Id="rId27" Target="https://ahrefs.com/pricing" TargetMode="External" /><Relationship Type="http://schemas.openxmlformats.org/officeDocument/2006/relationships/hyperlink" Id="rId26" Target="https://aws.amazon.com/route53/pricing/" TargetMode="External" /><Relationship Type="http://schemas.openxmlformats.org/officeDocument/2006/relationships/hyperlink" Id="rId16" Target="https://aws.amazon.com/tr/sagemaker/pricing/" TargetMode="External" /><Relationship Type="http://schemas.openxmlformats.org/officeDocument/2006/relationships/hyperlink" Id="rId36" Target="https://azure.microsoft.com/tr-tr/pricing/calculator/" TargetMode="External" /><Relationship Type="http://schemas.openxmlformats.org/officeDocument/2006/relationships/hyperlink" Id="rId17" Target="https://azure.microsoft.com/tr-tr/pricing/details/machine-learning/" TargetMode="External" /><Relationship Type="http://schemas.openxmlformats.org/officeDocument/2006/relationships/hyperlink" Id="rId31" Target="https://business.linkedin.com/marketing-solutions/cx/17/06/advertise-on-linkedin" TargetMode="External" /><Relationship Type="http://schemas.openxmlformats.org/officeDocument/2006/relationships/hyperlink" Id="rId35" Target="https://calculator.aws/" TargetMode="External" /><Relationship Type="http://schemas.openxmlformats.org/officeDocument/2006/relationships/hyperlink" Id="rId11" Target="https://data.tuik.gov.tr/Kategori/GetKategori?p=istihdam-issizlik-ve-ucret-108" TargetMode="External" /><Relationship Type="http://schemas.openxmlformats.org/officeDocument/2006/relationships/hyperlink" Id="rId19" Target="https://github.com/pricing" TargetMode="External" /><Relationship Type="http://schemas.openxmlformats.org/officeDocument/2006/relationships/hyperlink" Id="rId18" Target="https://lambdalabs.com/service/gpu-cloud" TargetMode="External" /><Relationship Type="http://schemas.openxmlformats.org/officeDocument/2006/relationships/hyperlink" Id="rId22" Target="https://scale.com/pricing" TargetMode="External" /><Relationship Type="http://schemas.openxmlformats.org/officeDocument/2006/relationships/hyperlink" Id="rId46" Target="https://verbis.kvkk.gov.tr/" TargetMode="External" /><Relationship Type="http://schemas.openxmlformats.org/officeDocument/2006/relationships/hyperlink" Id="rId44" Target="https://www.barobirlik.org.tr/" TargetMode="External" /><Relationship Type="http://schemas.openxmlformats.org/officeDocument/2006/relationships/hyperlink" Id="rId12" Target="https://www.bionluk.com/" TargetMode="External" /><Relationship Type="http://schemas.openxmlformats.org/officeDocument/2006/relationships/hyperlink" Id="rId37" Target="https://www.bosch-sensortec.com/products/" TargetMode="External" /><Relationship Type="http://schemas.openxmlformats.org/officeDocument/2006/relationships/hyperlink" Id="rId48" Target="https://www.coursera.org/business" TargetMode="External" /><Relationship Type="http://schemas.openxmlformats.org/officeDocument/2006/relationships/hyperlink" Id="rId20" Target="https://www.datadoghq.com/pricing/" TargetMode="External" /><Relationship Type="http://schemas.openxmlformats.org/officeDocument/2006/relationships/hyperlink" Id="rId33" Target="https://www.hannovermesse.de/" TargetMode="External" /><Relationship Type="http://schemas.openxmlformats.org/officeDocument/2006/relationships/hyperlink" Id="rId14" Target="https://www.iskur.gov.tr/is-arayan/issizlik-ve-uyum-yardimlari/iskur-stajyer-destegi/" TargetMode="External" /><Relationship Type="http://schemas.openxmlformats.org/officeDocument/2006/relationships/hyperlink" Id="rId21" Target="https://www.jetbrains.com/store/" TargetMode="External" /><Relationship Type="http://schemas.openxmlformats.org/officeDocument/2006/relationships/hyperlink" Id="rId10" Target="https://www.kosgeb.gov.tr/site/tr/genel/destekdetay/3287/girisimcilik-destek-programi" TargetMode="External" /><Relationship Type="http://schemas.openxmlformats.org/officeDocument/2006/relationships/hyperlink" Id="rId45" Target="https://www.kvkk.gov.tr/" TargetMode="External" /><Relationship Type="http://schemas.openxmlformats.org/officeDocument/2006/relationships/hyperlink" Id="rId29" Target="https://www.makinafuari.com.tr/" TargetMode="External" /><Relationship Type="http://schemas.openxmlformats.org/officeDocument/2006/relationships/hyperlink" Id="rId39" Target="https://www.nvidia.com/tr-tr/autonomous-machines/embedded-systems/jetson-orin/" TargetMode="External" /><Relationship Type="http://schemas.openxmlformats.org/officeDocument/2006/relationships/hyperlink" Id="rId40" Target="https://www.raspberrypi.com/products/raspberry-pi-5/" TargetMode="External" /><Relationship Type="http://schemas.openxmlformats.org/officeDocument/2006/relationships/hyperlink" Id="rId38" Target="https://www.siemens.com/global/en/products/automation/sensor-systems.html" TargetMode="External" /><Relationship Type="http://schemas.openxmlformats.org/officeDocument/2006/relationships/hyperlink" Id="rId32" Target="https://www.thy.com/" TargetMode="External" /><Relationship Type="http://schemas.openxmlformats.org/officeDocument/2006/relationships/hyperlink" Id="rId23" Target="https://www.tubitak.gov.tr/tr/destekler/sanayi/ulusal-destek-programlari" TargetMode="External" /><Relationship Type="http://schemas.openxmlformats.org/officeDocument/2006/relationships/hyperlink" Id="rId24" Target="https://www.tubitak.gov.tr/tr/destekler/sanayi/ulusal-destek-programlari/icerik-1505-universite-sanayi-isbirligi-destek-programi" TargetMode="External" /><Relationship Type="http://schemas.openxmlformats.org/officeDocument/2006/relationships/hyperlink" Id="rId42" Target="https://www.turkpatent.gov.tr/ucret-tarifesi" TargetMode="External" /><Relationship Type="http://schemas.openxmlformats.org/officeDocument/2006/relationships/hyperlink" Id="rId43" Target="https://www.turmob.org.tr/" TargetMode="External" /><Relationship Type="http://schemas.openxmlformats.org/officeDocument/2006/relationships/hyperlink" Id="rId13" Target="https://www.upwork.com/hire/" TargetMode="External" /><Relationship Type="http://schemas.openxmlformats.org/officeDocument/2006/relationships/hyperlink" Id="rId28" Target="https://www.win-eurasia.com/" TargetMode="External" /><Relationship Type="http://schemas.openxmlformats.org/officeDocument/2006/relationships/hyperlink" Id="rId47" Target="https://www.workinton.com/t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2026-05-03T17:04:20Z</dcterms:created>
  <dcterms:modified xsi:type="dcterms:W3CDTF">2026-05-03T17:04:20Z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